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t xml:space="preserve">Пользовательское соглашение (публичная оферта) — проект новой редакции</w:t>
      </w:r>
    </w:p>
    <w:p>
      <w:pPr>
        <w:pStyle w:val="Normal"/>
      </w:pPr>
      <w:r>
        <w:t xml:space="preserve">Дата последнего обновления: 12.10.2026 г.</w:t>
      </w:r>
    </w:p>
    <w:p>
      <w:pPr>
        <w:pStyle w:val="Normal"/>
      </w:pPr>
      <w:r>
        <w:rPr>
          <w:b/>
        </w:rPr>
        <w:t xml:space="preserve">Проект для согласования, не вступил в силу.</w:t>
      </w:r>
      <w:r>
        <w:t xml:space="preserve"> Новые тарифы еще не подключены к биллингу Платформы. Этот предпросмотр не изменяет ранее оплаченные условия, действующие согласия на списания и текущую редакцию договора. Дата запуска предложения, ресурсные профили, стандартные ИИ-операции, совместимость CRM с ИИ-докупками, порядок льготного периода, технических остановок и архивирования подлежат окончательному согласованию до публикации и приема оплаты по новым условиям.</w:t>
      </w:r>
    </w:p>
    <w:p>
      <w:pPr>
        <w:pStyle w:val="Normal"/>
      </w:pPr>
      <w:r>
        <w:t xml:space="preserve">После согласования и вступления в силу настоящее Пользовательское соглашение (далее — Соглашение) предназначено для применения как публичная оферта в соответствии со статьями 435 и 437 Гражданского кодекса Российской Федерации и регулирует порядок использования программного обеспечения, сервисов, облачной инфраструктуры и инструментов платформы ALTRICS, размещенной по адресу </w:t>
      </w:r>
      <w:hyperlink r:id="link1">
        <w:r>
          <w:rPr>
            <w:color w:val="245DA8"/>
            <w:u w:val="single"/>
          </w:rPr>
          <w:t xml:space="preserve">https://altrics.tech</w:t>
        </w:r>
      </w:hyperlink>
      <w:r>
        <w:t xml:space="preserve">.</w:t>
      </w:r>
    </w:p>
    <w:p>
      <w:pPr>
        <w:pStyle w:val="Normal"/>
      </w:pPr>
      <w:r>
        <w:t xml:space="preserve">Исполнителем по настоящему Соглашению является самозанятый Хусаинов Марсель Радмирович, ИНН 664605768505, применяющий специальный налоговый режим «Налог на профессиональный доход» в соответствии с законодательством Российской Федерации (далее — Исполнитель).</w:t>
      </w:r>
    </w:p>
    <w:p>
      <w:pPr>
        <w:pStyle w:val="Normal"/>
      </w:pPr>
      <w:r>
        <w:t xml:space="preserve">Контактный адрес электронной почты: </w:t>
      </w:r>
      <w:hyperlink r:id="link2">
        <w:r>
          <w:rPr>
            <w:color w:val="245DA8"/>
            <w:u w:val="single"/>
          </w:rPr>
          <w:t xml:space="preserve">support@altrics.tech</w:t>
        </w:r>
      </w:hyperlink>
    </w:p>
    <w:p>
      <w:pPr>
        <w:pStyle w:val="Normal"/>
      </w:pPr>
      <w:r>
        <w:t xml:space="preserve">Просмотр проекта не является его акцептом. После выпуска редакции принятие условий при подключении и оплате фиксируется в предусмотренном интерфейсе; изменение суммы автоматических списаний требует отдельного явного согласия.</w:t>
      </w:r>
    </w:p>
    <w:p>
      <w:pPr>
        <w:pStyle w:val="Heading1"/>
      </w:pPr>
      <w:r>
        <w:t xml:space="preserve">1. Термины и определения</w:t>
      </w:r>
    </w:p>
    <w:p>
      <w:pPr>
        <w:pStyle w:val="Normal"/>
      </w:pPr>
      <w:r>
        <w:rPr>
          <w:b/>
        </w:rPr>
        <w:t xml:space="preserve">Платформа ALTRICS</w:t>
      </w:r>
      <w:r>
        <w:t xml:space="preserve"> — программный комплекс, предназначенный для автоматизации бизнес-процессов, обработки сообщений, интеграции с CRM-системами, мессенджерами, внешними API и сервисами искусственного интеллекта.</w:t>
      </w:r>
    </w:p>
    <w:p>
      <w:pPr>
        <w:pStyle w:val="Normal"/>
      </w:pPr>
      <w:r>
        <w:rPr>
          <w:b/>
        </w:rPr>
        <w:t xml:space="preserve">Пользователь</w:t>
      </w:r>
      <w:r>
        <w:t xml:space="preserve"> — физическое лицо, индивидуальный предприниматель или юридическое лицо, использующее Платформу на условиях настоящего Соглашения.</w:t>
      </w:r>
    </w:p>
    <w:p>
      <w:pPr>
        <w:pStyle w:val="Normal"/>
      </w:pPr>
      <w:r>
        <w:rPr>
          <w:b/>
        </w:rPr>
        <w:t xml:space="preserve">Сервисы</w:t>
      </w:r>
      <w:r>
        <w:t xml:space="preserve"> — программные функции, API, интеграции, личный кабинет, чат-боты, инструменты аналитики и иные возможности, предоставляемые Платформой.</w:t>
      </w:r>
    </w:p>
    <w:p>
      <w:pPr>
        <w:pStyle w:val="Normal"/>
      </w:pPr>
      <w:r>
        <w:rPr>
          <w:b/>
        </w:rPr>
        <w:t xml:space="preserve">ИИ-модули</w:t>
      </w:r>
      <w:r>
        <w:t xml:space="preserve"> — технологии искусственного интеллекта, включая, но не ограничиваясь, API OpenAI и иных поставщиков аналогичных сервисов.</w:t>
      </w:r>
    </w:p>
    <w:p>
      <w:pPr>
        <w:pStyle w:val="Normal"/>
      </w:pPr>
      <w:r>
        <w:rPr>
          <w:b/>
        </w:rPr>
        <w:t xml:space="preserve">Объем ИИ-функции</w:t>
      </w:r>
      <w:r>
        <w:t xml:space="preserve"> — месячное количество результатов отдельной функции: поручений помощнику, ответов клиентам, сводок по перепискам, подготовок или итогов встреч. Объем каждой функции общий для организации, а не персональный для сотрудника. Объемы разных функций не обмениваются между собой. Это не токены модели, не число клиентов и не единый пул условных единиц.</w:t>
      </w:r>
    </w:p>
    <w:p>
      <w:pPr>
        <w:pStyle w:val="Normal"/>
      </w:pPr>
      <w:r>
        <w:rPr>
          <w:b/>
        </w:rPr>
        <w:t xml:space="preserve">Ресурсный профиль</w:t>
      </w:r>
      <w:r>
        <w:t xml:space="preserve"> — лимиты участников, хранения, контактов и сообщений организации, применяемые к ИИ-тарифу и соответствующему варианту «Только CRM».</w:t>
      </w:r>
    </w:p>
    <w:p>
      <w:pPr>
        <w:pStyle w:val="Normal"/>
      </w:pPr>
      <w:r>
        <w:rPr>
          <w:b/>
        </w:rPr>
        <w:t xml:space="preserve">Manual Mode (Ручной режим проверки)</w:t>
      </w:r>
      <w:r>
        <w:t xml:space="preserve"> — режим работы Платформы, при котором сформированный искусственным интеллектом ответ отображается Пользователю для проверки, редактирования и последующей отправки вручную.</w:t>
      </w:r>
    </w:p>
    <w:p>
      <w:pPr>
        <w:pStyle w:val="Heading1"/>
      </w:pPr>
      <w:r>
        <w:t xml:space="preserve">2. Предмет Соглашения</w:t>
      </w:r>
    </w:p>
    <w:p>
      <w:pPr>
        <w:pStyle w:val="Normal"/>
      </w:pPr>
      <w:r>
        <w:t xml:space="preserve">2.1. Исполнитель предоставляет Пользователю неисключительное, непередаваемое и отзывное право использования Платформы в пределах ее функциональных возможностей на условиях настоящего Соглашения.</w:t>
      </w:r>
    </w:p>
    <w:p>
      <w:pPr>
        <w:pStyle w:val="Normal"/>
      </w:pPr>
      <w:r>
        <w:t xml:space="preserve">2.2. Доступ к отдельным функциям Платформы может предоставляться на платной основе в соответствии с действующими тарифами либо индивидуальными коммерческими предложениями.</w:t>
      </w:r>
    </w:p>
    <w:p>
      <w:pPr>
        <w:pStyle w:val="Normal"/>
      </w:pPr>
      <w:r>
        <w:t xml:space="preserve">2.3. Исполнитель вправе оказывать дополнительные услуги по внедрению, настройке, сопровождению, интеграции и технической поддержке автоматизированных решений.</w:t>
      </w:r>
    </w:p>
    <w:p>
      <w:pPr>
        <w:pStyle w:val="Normal"/>
      </w:pPr>
      <w:r>
        <w:t xml:space="preserve">2.4. Все исключительные права на программное обеспечение, исходный код, дизайн, интерфейсы, базы данных, алгоритмы и иные объекты интеллектуальной собственности принадлежат Исполнителю либо соответствующим правообладателям.</w:t>
      </w:r>
    </w:p>
    <w:p>
      <w:pPr>
        <w:pStyle w:val="Normal"/>
      </w:pPr>
      <w:r>
        <w:t xml:space="preserve">2.5. Для получения платных SaaS-услуг Пользователь выбирает тариф, предоставляет необходимые для регистрации и оплаты сведения, принимает настоящее Соглашение и оплачивает выбранный тариф. Состав функций, лимиты, стоимость и расчетный период определяются выбранным тарифом, опубликованным на Сайте, либо индивидуальным предложением Исполнителя.</w:t>
      </w:r>
    </w:p>
    <w:p>
      <w:pPr>
        <w:pStyle w:val="Normal"/>
      </w:pPr>
      <w:r>
        <w:t xml:space="preserve">2.6. Исполнитель предоставляет доступ к оплаченным функциям Платформы после получения подтверждения оплаты от платежного сервиса и активации соответствующего тарифа для учетной записи Пользователя. Моментом начала оказания SaaS-услуг считается момент, когда Пользователю предоставлена техническая возможность использовать оплаченные функции Платформы.</w:t>
      </w:r>
    </w:p>
    <w:p>
      <w:pPr>
        <w:pStyle w:val="Normal"/>
      </w:pPr>
      <w:r>
        <w:t xml:space="preserve">2.7. SaaS-услуги оказываются дистанционно в течение оплаченного расчетного периода путем поддержания доступа к функциям Платформы в пределах выбранного тарифа. Фактический объем использования Платформы в течение этого периода определяется Пользователем.</w:t>
      </w:r>
    </w:p>
    <w:p>
      <w:pPr>
        <w:pStyle w:val="Normal"/>
      </w:pPr>
      <w:r>
        <w:t xml:space="preserve">2.8. ALTRICS настраивает Платформу под согласованные процессы, проверяет ее и передает готовый результат. Настройка стоит 10 000 ₽ за согласованный объем и оплачивается разово, отдельно от подписки. Дополнительные работы оцениваются отдельно до их выполнения. Сначала стороны согласовывают состав работ, сроки, критерии приемки и условия гарантии настройки. Затем Исполнитель вручную направляет отдельную платежную ссылку Robokassa на согласованную сумму настройки. После оплаты выполняются работы и передается результат; первая оплата новой подписки открывается в личном кабинете после завершения настройки. Гарантия настройки касается согласованных критериев приемки, а не безошибочности ИИ, роста продаж или иного коммерческого результата. Оплата настройки не означает бесплатное облачное обслуживание навсегда. Условия ранее согласованных работ не изменяются автоматически.</w:t>
      </w:r>
    </w:p>
    <w:p>
      <w:pPr>
        <w:pStyle w:val="Heading1"/>
      </w:pPr>
      <w:r>
        <w:t xml:space="preserve">3. Права и обязанности сторон</w:t>
      </w:r>
    </w:p>
    <w:p>
      <w:pPr>
        <w:pStyle w:val="Normal"/>
      </w:pPr>
      <w:r>
        <w:t xml:space="preserve">3.1. Исполнитель вправе:</w:t>
      </w:r>
    </w:p>
    <w:p>
      <w:pPr>
        <w:pStyle w:val="Normal"/>
        <w:ind w:left="360"/>
      </w:pPr>
      <w:r>
        <w:t xml:space="preserve">изменять функциональные возможности Платформы;</w:t>
      </w:r>
    </w:p>
    <w:p>
      <w:pPr>
        <w:pStyle w:val="Normal"/>
        <w:ind w:left="360"/>
      </w:pPr>
      <w:r>
        <w:t xml:space="preserve">обновлять программное обеспечение;</w:t>
      </w:r>
    </w:p>
    <w:p>
      <w:pPr>
        <w:pStyle w:val="Normal"/>
        <w:ind w:left="360"/>
      </w:pPr>
      <w:r>
        <w:t xml:space="preserve">изменять тарифы;</w:t>
      </w:r>
    </w:p>
    <w:p>
      <w:pPr>
        <w:pStyle w:val="Normal"/>
        <w:ind w:left="360"/>
      </w:pPr>
      <w:r>
        <w:t xml:space="preserve">временно ограничивать доступ к сервисам при проведении технических работ;</w:t>
      </w:r>
    </w:p>
    <w:p>
      <w:pPr>
        <w:pStyle w:val="Normal"/>
        <w:ind w:left="360"/>
      </w:pPr>
      <w:r>
        <w:t xml:space="preserve">приостанавливать либо прекращать доступ Пользователя при нарушении условий настоящего Соглашения.</w:t>
      </w:r>
    </w:p>
    <w:p>
      <w:pPr>
        <w:pStyle w:val="Normal"/>
      </w:pPr>
      <w:r>
        <w:t xml:space="preserve">3.2. Исполнитель обязуется:</w:t>
      </w:r>
    </w:p>
    <w:p>
      <w:pPr>
        <w:pStyle w:val="Normal"/>
        <w:ind w:left="360"/>
      </w:pPr>
      <w:r>
        <w:t xml:space="preserve">обеспечивать функционирование Платформы в пределах технических возможностей;</w:t>
      </w:r>
    </w:p>
    <w:p>
      <w:pPr>
        <w:pStyle w:val="Normal"/>
        <w:ind w:left="360"/>
      </w:pPr>
      <w:r>
        <w:t xml:space="preserve">принимать разумные меры по обеспечению информационной безопасности;</w:t>
      </w:r>
    </w:p>
    <w:p>
      <w:pPr>
        <w:pStyle w:val="Normal"/>
        <w:ind w:left="360"/>
      </w:pPr>
      <w:r>
        <w:t xml:space="preserve">обрабатывать персональные данные в соответствии с Политикой конфиденциальности и законодательством Российской Федерации.</w:t>
      </w:r>
    </w:p>
    <w:p>
      <w:pPr>
        <w:pStyle w:val="Normal"/>
      </w:pPr>
      <w:r>
        <w:t xml:space="preserve">3.3. Пользователь обязуется:</w:t>
      </w:r>
    </w:p>
    <w:p>
      <w:pPr>
        <w:pStyle w:val="Normal"/>
        <w:ind w:left="360"/>
      </w:pPr>
      <w:r>
        <w:t xml:space="preserve">предоставлять достоверные сведения;</w:t>
      </w:r>
    </w:p>
    <w:p>
      <w:pPr>
        <w:pStyle w:val="Normal"/>
        <w:ind w:left="360"/>
      </w:pPr>
      <w:r>
        <w:t xml:space="preserve">соблюдать требования законодательства Российской Федерации;</w:t>
      </w:r>
    </w:p>
    <w:p>
      <w:pPr>
        <w:pStyle w:val="Normal"/>
        <w:ind w:left="360"/>
      </w:pPr>
      <w:r>
        <w:t xml:space="preserve">не использовать Платформу для противоправной деятельности;</w:t>
      </w:r>
    </w:p>
    <w:p>
      <w:pPr>
        <w:pStyle w:val="Normal"/>
        <w:ind w:left="360"/>
      </w:pPr>
      <w:r>
        <w:t xml:space="preserve">не предпринимать действий, направленных на нарушение работы Платформы;</w:t>
      </w:r>
    </w:p>
    <w:p>
      <w:pPr>
        <w:pStyle w:val="Normal"/>
        <w:ind w:left="360"/>
      </w:pPr>
      <w:r>
        <w:t xml:space="preserve">самостоятельно обеспечивать сохранность своих учетных данных.</w:t>
      </w:r>
    </w:p>
    <w:p>
      <w:pPr>
        <w:pStyle w:val="Heading1"/>
      </w:pPr>
      <w:r>
        <w:t xml:space="preserve">4. Особенности использования искусственного интеллекта</w:t>
      </w:r>
    </w:p>
    <w:p>
      <w:pPr>
        <w:pStyle w:val="Normal"/>
      </w:pPr>
      <w:r>
        <w:t xml:space="preserve">4.1. Отдельные функции Платформы основаны на использовании технологий искусственного интеллекта, предоставляемых сторонними поставщиками.</w:t>
      </w:r>
    </w:p>
    <w:p>
      <w:pPr>
        <w:pStyle w:val="Normal"/>
      </w:pPr>
      <w:r>
        <w:t xml:space="preserve">4.2. Результаты работы ИИ носят вероятностный характер и могут содержать неточности, ошибки, неполные сведения либо информацию, не соответствующую фактическим обстоятельствам.</w:t>
      </w:r>
    </w:p>
    <w:p>
      <w:pPr>
        <w:pStyle w:val="Normal"/>
      </w:pPr>
      <w:r>
        <w:t xml:space="preserve">4.3. Пользователь самостоятельно принимает решение об использовании результатов, сформированных искусственным интеллектом, и несет ответственность за их последующее применение.</w:t>
      </w:r>
    </w:p>
    <w:p>
      <w:pPr>
        <w:pStyle w:val="Normal"/>
      </w:pPr>
      <w:r>
        <w:t xml:space="preserve">4.4. Исполнитель не гарантирует абсолютную точность, полноту, актуальность или пригодность результатов генерации для достижения конкретных целей Пользователя.</w:t>
      </w:r>
    </w:p>
    <w:p>
      <w:pPr>
        <w:pStyle w:val="Normal"/>
      </w:pPr>
      <w:r>
        <w:t xml:space="preserve">4.5. Для процессов, связанных с заключением договоров, финансовыми расчетами, юридическими консультациями, медицинскими рекомендациями либо иной деятельностью, способной повлечь существенные последствия, Исполнитель рекомендует использовать </w:t>
      </w:r>
      <w:r>
        <w:rPr>
          <w:b/>
        </w:rPr>
        <w:t xml:space="preserve">Manual Mode</w:t>
      </w:r>
      <w:r>
        <w:t xml:space="preserve"> либо осуществлять обязательную проверку результатов человеком.</w:t>
      </w:r>
    </w:p>
    <w:p>
      <w:pPr>
        <w:pStyle w:val="Normal"/>
      </w:pPr>
      <w:r>
        <w:t xml:space="preserve">4.6. Проект учета стандартной операции: поручение помощнику текстом или голосовым сообщением Telegram длительностью до 60 секунд учитывается как одно поручение за сохраненный ответ, уточнение или готовый к подтверждению план. Распознавание короткого голосового и применение подтвержденного плана не создают отдельного списания. Ответ клиенту, сводка, подготовка и итог встречи учитываются в собственных объемах за соответствующий сохраненный или доставленный результат. Длинные аудио, тяжелые задания, импорт знаний и индивидуальные интеграции требуют отдельной оценки и подключения, если они не включены в согласованный состав. Границы входных данных и работ согласуются до оплаты; подписка не означает неограниченное выполнение любых задач.</w:t>
      </w:r>
    </w:p>
    <w:p>
      <w:pPr>
        <w:pStyle w:val="Normal"/>
      </w:pPr>
      <w:r>
        <w:t xml:space="preserve">4.7. После привязки личного Telegram-аккаунта помощник сотрудника позволяет поручать основные задачи с клиентами, заявками и встречами без постоянного открытия личного кабинета. Действия ограничены выбранной организацией и правами сотрудника; изменение рабочих записей требует явного подтверждения. Помощник не заменяет все функции кабинета: оплата, управление доступами и сложные настройки выполняются в предусмотренных для них интерфейсах. Помощник сотрудника и клиентские автоответы являются независимыми сценариями.</w:t>
      </w:r>
    </w:p>
    <w:p>
      <w:pPr>
        <w:pStyle w:val="Normal"/>
      </w:pPr>
      <w:r>
        <w:t xml:space="preserve">4.8. Техническая защита может приостановить новые ИИ-операции даже при оставшемся объеме функции. Причина и порядок восстановления сообщаются Пользователю; скрытого списания неиспользованного объема и автоматической платной докупки нет. Порядок урегулирования длительной недоступности согласуется до запуска, без ограничения законных прав Пользователя по разделу 7. Итоги встреч доступны в бета-режиме: требуют проверки, получение полноценного итога не гарантируется. Проект не обещает гарантированного выполнения всех месячных объемов любых задач.</w:t>
      </w:r>
    </w:p>
    <w:p>
      <w:pPr>
        <w:pStyle w:val="Heading1"/>
      </w:pPr>
      <w:r>
        <w:t xml:space="preserve">5. Ограничение ответственности</w:t>
      </w:r>
    </w:p>
    <w:p>
      <w:pPr>
        <w:pStyle w:val="Normal"/>
      </w:pPr>
      <w:r>
        <w:t xml:space="preserve">5.1. Платформа предоставляется по принципу </w:t>
      </w:r>
      <w:r>
        <w:rPr>
          <w:b/>
        </w:rPr>
        <w:t xml:space="preserve">«как есть» (AS IS)</w:t>
      </w:r>
      <w:r>
        <w:t xml:space="preserve"> в части, не противоречащей применимому законодательству и отдельно согласованным обязательствам Исполнителя по настройке и приемке результата.</w:t>
      </w:r>
    </w:p>
    <w:p>
      <w:pPr>
        <w:pStyle w:val="Normal"/>
      </w:pPr>
      <w:r>
        <w:t xml:space="preserve">5.2. Исполнитель не несет ответственности за:</w:t>
      </w:r>
    </w:p>
    <w:p>
      <w:pPr>
        <w:pStyle w:val="Normal"/>
        <w:ind w:left="360"/>
      </w:pPr>
      <w:r>
        <w:t xml:space="preserve">ошибки, допущенные искусственным интеллектом;</w:t>
      </w:r>
    </w:p>
    <w:p>
      <w:pPr>
        <w:pStyle w:val="Normal"/>
        <w:ind w:left="360"/>
      </w:pPr>
      <w:r>
        <w:t xml:space="preserve">недостоверные сведения, сформированные сторонними ИИ-моделями;</w:t>
      </w:r>
    </w:p>
    <w:p>
      <w:pPr>
        <w:pStyle w:val="Normal"/>
        <w:ind w:left="360"/>
      </w:pPr>
      <w:r>
        <w:t xml:space="preserve">убытки, упущенную выгоду, потерю клиентов, репутационный ущерб либо иные неблагоприятные последствия использования результатов работы Платформы;</w:t>
      </w:r>
    </w:p>
    <w:p>
      <w:pPr>
        <w:pStyle w:val="Normal"/>
        <w:ind w:left="360"/>
      </w:pPr>
      <w:r>
        <w:t xml:space="preserve">сбои в работе сторонних сервисов, включая OpenAI, Telegram, WhatsApp, CRM-системы, платежные сервисы и иных поставщиков инфраструктуры;</w:t>
      </w:r>
    </w:p>
    <w:p>
      <w:pPr>
        <w:pStyle w:val="Normal"/>
        <w:ind w:left="360"/>
      </w:pPr>
      <w:r>
        <w:t xml:space="preserve">временную недоступность сервисов вследствие технических работ, аварий либо обстоятельств, не зависящих от Исполнителя.</w:t>
      </w:r>
    </w:p>
    <w:p>
      <w:pPr>
        <w:pStyle w:val="Normal"/>
      </w:pPr>
      <w:r>
        <w:t xml:space="preserve">5.3. Ответственность Исполнителя ограничивается пределами, установленными законодательством Российской Федерации.</w:t>
      </w:r>
    </w:p>
    <w:p>
      <w:pPr>
        <w:pStyle w:val="Heading1"/>
      </w:pPr>
      <w:r>
        <w:t xml:space="preserve">6. Стоимость услуг и порядок оплаты</w:t>
      </w:r>
    </w:p>
    <w:p>
      <w:pPr>
        <w:pStyle w:val="Normal"/>
      </w:pPr>
      <w:r>
        <w:t xml:space="preserve">6.1. Стоимость использования Платформы определяется действующими тарифами, опубликованными на Сайте, либо согласовывается сторонами индивидуально.</w:t>
      </w:r>
    </w:p>
    <w:p>
      <w:pPr>
        <w:pStyle w:val="Normal"/>
      </w:pPr>
      <w:r>
        <w:t xml:space="preserve">6.2. Если иное не предусмотрено отдельным соглашением, услуги оказываются на условиях полной предварительной оплаты. Подписка оплачивается авансом за следующий расчетный месяц.</w:t>
      </w:r>
    </w:p>
    <w:p>
      <w:pPr>
        <w:pStyle w:val="Normal"/>
      </w:pPr>
      <w:r>
        <w:t xml:space="preserve">6.3. Исполнитель вправе изменять стоимость услуг только для будущих расчетных периодов. О новой стоимости, дате ее применения и праве отключить автопродление Пользователь уведомляется в личном кабинете и по доступному каналу связи не менее чем за 7 календарных дней до предполагаемого списания. Если этот срок нельзя соблюсти к ближайшей дате продления, новая стоимость применяется не ранее следующего расчетного периода. Автоматическое списание новой суммы без такого уведомления и нового явного согласия Пользователя не производится.</w:t>
      </w:r>
    </w:p>
    <w:p>
      <w:pPr>
        <w:pStyle w:val="Normal"/>
      </w:pPr>
      <w:r>
        <w:t xml:space="preserve">6.4. Оплата ежемесячной подписки может осуществляться через платежный сервис Robokassa с автоматическим продлением. Автопродление подключается только после установки Пользователем отдельного флажка «Я согласен на автоматические списания согласно условиям оферты». Такое согласие означает разрешение автоматически списывать указанную при оформлении стоимость подписки один раз в месяц авансом за каждый следующий расчетный период до отключения автопродления.</w:t>
      </w:r>
    </w:p>
    <w:p>
      <w:pPr>
        <w:pStyle w:val="Normal"/>
      </w:pPr>
      <w:r>
        <w:t xml:space="preserve">6.5. До создания рекуррентного платежа Пользователю предоставляется информация о названии тарифа, стоимости расчетного месяца, первом платеже, периодичности, предполагаемой дате и точном времени следующего списания, а также о способе отключения автопродления. Платежные данные обрабатываются платежным сервисом Robokassa в соответствии с его условиями; Исполнитель не получает полные данные банковской карты Пользователя.</w:t>
      </w:r>
    </w:p>
    <w:p>
      <w:pPr>
        <w:pStyle w:val="Normal"/>
      </w:pPr>
      <w:r>
        <w:t xml:space="preserve">6.6. Календарное число первого успешного платежа становится днем ежемесячного продления подписки. Следующее автоматическое списание производится в 10:00 по времени Екатеринбурга (Asia/Yekaterinburg, UTC+5) в соответствующий день следующего месяца. Если такого календарного числа в очередном месяце нет, списание производится в 10:00 последнего календарного дня этого месяца.</w:t>
      </w:r>
    </w:p>
    <w:p>
      <w:pPr>
        <w:pStyle w:val="Normal"/>
      </w:pPr>
      <w:r>
        <w:t xml:space="preserve">6.7. Пользователь вправе самостоятельно отключить автопродление в разделе «Тариф» личного кабинета до наступления указанного там времени очередного списания. Обращение в поддержку для отключения не требуется. После подтверждения отключения будущие автоматические списания прекращаются, но оплаченный доступ сохраняется до даты и времени окончания периода. Неоплата любой подписки — ИИ-тарифа или CRM — переводит всю организацию в режим просмотра: рабочие изменения, загрузки, ИИ и фоновые автоматизации приостанавливаются. Исходные роли не переписываются; владелец и администратор сохраняют доступ к оплате и управлению безопасностью, экспорт ограничен исходными правами. После оплаты роли снова действуют; просроченные действия не исполняются автоматически пачкой.</w:t>
      </w:r>
    </w:p>
    <w:p>
      <w:pPr>
        <w:pStyle w:val="Normal"/>
      </w:pPr>
      <w:r>
        <w:t xml:space="preserve">6.8. Проект переходов: смена тарифа и повторная покупка подписки доступны после завершения текущего оплаченного периода; повторная оплата не должна обнулять расход или срок. В середине периода можно отдельно приобрести пакет по пункту 6.12. Переход на «Только CRM» требует отдельного выбора, согласия с ценой и оплаты. Уменьшение профиля возможно, если участники и данные помещаются в новые лимиты; ранее выбранный дорогой тариф не закрепляется навсегда. Данные не удаляются автоматически для прохождения проверки. Невыполненная проверка означает необходимость согласования ресурсов до оплаты, а не скрытую доплату.</w:t>
      </w:r>
    </w:p>
    <w:p>
      <w:pPr>
        <w:pStyle w:val="Normal"/>
      </w:pPr>
      <w:r>
        <w:t xml:space="preserve">6.9. Разовая настройка по пункту 2.8 и дополнительные пакеты оплачиваются отдельно, не являются рекуррентными и не подключают автопродление или автоматические списания. Оплата настройки не оплачивает подписку и не пополняет объемы ИИ-функций.</w:t>
      </w:r>
    </w:p>
    <w:p>
      <w:pPr>
        <w:pStyle w:val="Normal"/>
      </w:pPr>
      <w:r>
        <w:t xml:space="preserve">6.10. Проект новой месячной подписки: сохраненные обычные цены и пересмотренные отдельные объемы функций:</w:t>
      </w:r>
    </w:p>
    <w:p>
      <w:pPr>
        <w:pStyle w:val="Normal"/>
        <w:ind w:left="360"/>
      </w:pPr>
      <w:r>
        <w:t xml:space="preserve">«Соло» — 3 990 ₽ за расчетный месяц: 250 поручений, 350 ответов клиентам, 50 сводок, 20 подготовок и 20 итогов встреч;</w:t>
      </w:r>
    </w:p>
    <w:p>
      <w:pPr>
        <w:pStyle w:val="Normal"/>
        <w:ind w:left="360"/>
      </w:pPr>
      <w:r>
        <w:t xml:space="preserve">«Бизнес» — 9 990 ₽ за расчетный месяц: 600 поручений, 2 000 ответов клиентам, 150 сводок, 60 подготовок и 60 итогов встреч;</w:t>
      </w:r>
    </w:p>
    <w:p>
      <w:pPr>
        <w:pStyle w:val="Normal"/>
        <w:ind w:left="360"/>
      </w:pPr>
      <w:r>
        <w:t xml:space="preserve">«Поток» — 15 990 ₽ за расчетный месяц: 1 000 поручений, 3 000 ответов клиентам, 250 сводок, 100 подготовок и 100 итогов встреч.</w:t>
      </w:r>
    </w:p>
    <w:p>
      <w:pPr>
        <w:pStyle w:val="Normal"/>
      </w:pPr>
      <w:r>
        <w:t xml:space="preserve">6.11. Все рабочие разделы и обслуживание CRM входят в ИИ-тариф; второй обязательной подписки на CRM нет. Все объемы функций предоставляются одновременно, общие для организации и не умножаются на число сотрудников. Численность организации проверяется как ресурс, а не как коэффициент ИИ-нагрузки. Конкретные подключения, число каналов и готовность сценариев проверяются при настройке.</w:t>
      </w:r>
    </w:p>
    <w:p>
      <w:pPr>
        <w:pStyle w:val="Normal"/>
      </w:pPr>
      <w:r>
        <w:t xml:space="preserve">6.12. Согласованные цены доппакетов: 100 поручений — 790 ₽; 500 ответов клиентам — 690 ₽; 250 сводок — 90 ₽; 50 подготовок — 90 ₽; 50 итогов встреч — 90 ₽. Проект порядка покупки: отдельно при активной ИИ-подписке. Пакет увеличивает только свою функцию и действует до даты и времени окончания текущего оплаченного расчетного периода, а не до конца календарного месяца. Неиспользованный остаток не переносится. При оплате следующего периода обновляются только включенные объемы выбранного тарифа. Пакет не продлевается автоматически и не увеличивает сумму ежемесячного списания. ИИ-пакеты не увеличивают ресурсные лимиты CRM; возможность их использования с CRM-only отдельно не утверждена.</w:t>
      </w:r>
    </w:p>
    <w:p>
      <w:pPr>
        <w:pStyle w:val="Normal"/>
      </w:pPr>
      <w:r>
        <w:t xml:space="preserve">6.13. Проект учета: перед ИИ-операцией объем соответствующей функции может резервироваться и временно исключается из доступного остатка. Списание производится при сохранении или доставке соответствующего результата; подтвержденная неуспешная операция освобождает резерв. При неопределенном исходе резерв сохраняется до проверки или сверки. Технические повторные попытки не создают повторного списания за тот же результат. Остаток, резерв и история операций показываются в личном кабинете.</w:t>
      </w:r>
    </w:p>
    <w:p>
      <w:pPr>
        <w:pStyle w:val="Normal"/>
      </w:pPr>
      <w:r>
        <w:t xml:space="preserve">6.14. Пользователь с правами владельца или администратора может независимо выключать ИИ-сценарии. Выключение прекращает запуск новых операций соответствующего сценария, но не отменяет уже начатые вызовы, сохраненные результаты или прошлые списания. Включение само по себе не расходует объем функции. Выключение не уменьшает стоимость подписки и не меняет согласие на автопродление.</w:t>
      </w:r>
    </w:p>
    <w:p>
      <w:pPr>
        <w:pStyle w:val="Normal"/>
      </w:pPr>
      <w:r>
        <w:t xml:space="preserve">6.15. При исчерпании объема одной функции новые платные операции этой функции приостанавливаются. Другие функции с остатком и ручная работа доступны в рамках активного оплаченного периода, ресурсного профиля и прав сотрудника. Автоматической покупки пакетов и скрытой оплаты превышения нет. Неоплата всей подписки регулируется пунктом 6.7 и не дает бесплатную ручную CRM.</w:t>
      </w:r>
    </w:p>
    <w:p>
      <w:pPr>
        <w:pStyle w:val="Normal"/>
      </w:pPr>
      <w:r>
        <w:t xml:space="preserve">6.16. Ранее оплаченные тарифы, пакеты и отдельно принятые согласия на списания не переводятся на новые условия автоматически. Их объемы, сроки и суммы действующих автосписаний сохраняются в пределах ранее принятого согласия. Новая сетка сама по себе их не изменяет; переход требует отдельного выбора и согласия и не сокращает ранее оплаченный период.</w:t>
      </w:r>
    </w:p>
    <w:p>
      <w:pPr>
        <w:pStyle w:val="Normal"/>
      </w:pPr>
      <w:r>
        <w:t xml:space="preserve">6.17. Акция: первые 30 платящих организаций, подключившихся в течение 30 дней после официального запуска предложения, получают первые 6 месяцев льготной подписки. Прием закрывается по количеству или сроку — что наступит раньше. Льготные цены: «Соло» — 2 690 ₽, «Бизнес» — 6 990 ₽, «Поток» — 10 990 ₽ в месяц, скидки не менее 32%, 30% и 31% соответственно. Дата запуска и участие подтверждаются до оплаты, дата в названии проекта не является началом акции. Проект исчисления: шестимесячное окно начинается с первой успешной оплаты ИИ-подписки и не запускается заново при смене тарифа. После окна применяются обычные цены из пункта 6.10; изменение суммы автосписания осуществляется с уведомлением и новым явным согласием по пункту 6.3. CRM и доппакеты не получают эту скидку.</w:t>
      </w:r>
    </w:p>
    <w:p>
      <w:pPr>
        <w:pStyle w:val="Normal"/>
      </w:pPr>
      <w:r>
        <w:t xml:space="preserve">6.18. «Только CRM» — платное обслуживание Платформы без ИИ: «Соло» — 990 ₽, «Бизнес» — 2 490 ₽, «Поток» — 3 990 ₽ за расчетный месяц. Вариант доступен для выбора сразу, не только после отказа от ИИ. Профиль выбирается по нужным ресурсам, а не по самому дорогому прежнему тарифу. Проект предусматривает блокировку платных фоновых ИИ-путей, а не только видимых кнопок ИИ.</w:t>
      </w:r>
    </w:p>
    <w:p>
      <w:pPr>
        <w:pStyle w:val="Normal"/>
      </w:pPr>
      <w:r>
        <w:t xml:space="preserve">6.19. Проект ресурсных профилей, подлежащий проверке и согласованию до запуска: «Соло» — до 2 участников, 2 ГБ файлов, 5 000 контактов, 10 000 новых сообщений за месяц и 100 000 сообщений в сохраняемой истории; «Бизнес» — 6 участников, 6 ГБ, 15 000 контактов, 30 000 новых и 300 000 сохраненных сообщений; «Поток» — 10 участников, 10 ГБ, 25 000 контактов, 50 000 новых и 500 000 сохраненных сообщений. Участники включают владельца; сообщения включают входящие и исходящие, ручные и ИИ. Лимиты общие для организации и одинаковы для ИИ-тарифа и соответствующего CRM-профиля. Проект лимита одного файла — 20 МБ. Расширение ресурсов и большие импорты требуют отдельного согласования объема и цены до покупки, цены расширений не установлены.</w:t>
      </w:r>
    </w:p>
    <w:p>
      <w:pPr>
        <w:pStyle w:val="Normal"/>
      </w:pPr>
      <w:r>
        <w:t xml:space="preserve">6.20. На лендинге нет отдельных карточек выбора тарифов: после расчета показывается один подходящий вариант либо индивидуальный тариф без неподтвержденной цены. Основные вводные — обращения клиентов и заявки за день, сотрудники; дополнительно учитываются другие рабочие задачи, деловые встречи и разборы переписок за неделю, клиентская база. Число сотрудников не умножает расход. Заявки могут возникать из тех же обращений и не прибавляются к диалогам; записи на услуги входят в заявки, а не автоматически считаются деловыми встречами.</w:t>
      </w:r>
    </w:p>
    <w:p>
      <w:pPr>
        <w:pStyle w:val="Normal"/>
      </w:pPr>
      <w:r>
        <w:t xml:space="preserve">6.21. Проект границы рекомендации калькулятора: стандартный тариф с докупкой показывается только при стоимости докупок не выше 30% цены подписки; для каждой функции допускается нехватка до 50% включенного объема либо не более одного доппакета. Исключение одного пакета учитывает целый размер покупки и не требует более дорогого тарифа только из-за размера блока. Из допустимых вариантов выбирается наименьшая полная цена с учетом ресурсов. Для большей нагрузки или ресурсов показывается необходимость индивидуального согласования сценариев, объемов и цены, без автоматического предложения большого числа пакетов. Это правило рекомендации, не запрет отдельной покупки пакетов, не дополнительный лимит оплаченного тарифа и не подтверждение производственной мощности. Пересмотренные объемы в пункте 6.10 являются новым проектом, а не изменением уже оплаченных условий.</w:t>
      </w:r>
    </w:p>
    <w:p>
      <w:pPr>
        <w:pStyle w:val="Normal"/>
      </w:pPr>
      <w:r>
        <w:t xml:space="preserve">6.22. Проект режима после неоплаты: 30 дней просмотра и разрешенного экспорта после окончания оплаченного периода, затем конечный архив. Этот срок и длительность архива еще не утверждены как политика хранения. Перед запуском фиксируются условия архива, уведомления и порядок восстановления и удаления данных с учетом закона и прав субъектов данных. Проект не вводит автоматическое удаление и не обещает бессрочное бесплатное хранение.</w:t>
      </w:r>
    </w:p>
    <w:p>
      <w:pPr>
        <w:pStyle w:val="Normal"/>
      </w:pPr>
      <w:r>
        <w:t xml:space="preserve">6.23. Калькулятор дает предварительную оценку автоматизации, не цену за клиента или заявку. Настройки явно задают рабочие дни, долю автоматических ответов и помощи сотрудникам, ответы в диалоге и число результатов помощника для работы с заявкой. По умолчанию используются 22 рабочих дня, 5 дней в неделю, 3 ответа в диалоге и один результат помощника на заявку; полный цикл заказа может требовать больше работы. Автоматическое создание заявки клиентским агентом не добавляет повторного поручения. Другие задачи указываются дополнительно, сверх первичной обработки заявок. Итоги встреч — бета и по умолчанию не включены в расчет; подготовки и разборы переписок учитываются независимо. Недельные процессы переводятся в месяц с округлением вверх. Ручная работа не расходует ИИ-объемы, но входящие сообщения и история проверяются как ресурсы. Расчет не создает заказ, не запускает ИИ, не является счетом или гарантией выполнения произвольных задач; итоговые условия и готовность будущих функций подтверждаются до оплаты. Неизвестные ресурсы, указанные как ноль, не отменяют лимиты профиля.</w:t>
      </w:r>
    </w:p>
    <w:p>
      <w:pPr>
        <w:pStyle w:val="Heading1"/>
      </w:pPr>
      <w:r>
        <w:t xml:space="preserve">7. Отказ от услуг и возврат денежных средств</w:t>
      </w:r>
    </w:p>
    <w:p>
      <w:pPr>
        <w:pStyle w:val="Normal"/>
      </w:pPr>
      <w:r>
        <w:t xml:space="preserve">7.1. Пользователь вправе отказаться от услуг в любое время. Если Пользователь является потребителем, к отказу применяются в том числе положения статьи 32 Закона Российской Федерации «О защите прав потребителей»; в иных случаях применяются статья 782 Гражданского кодекса Российской Федерации и другие применимые нормы законодательства.</w:t>
      </w:r>
    </w:p>
    <w:p>
      <w:pPr>
        <w:pStyle w:val="Normal"/>
      </w:pPr>
      <w:r>
        <w:t xml:space="preserve">7.2. Отключение автопродления предотвращает оплату следующих расчетных периодов, но само по себе не является требованием о возврате платежа за текущий период. Для возврата денежных средств Пользователь направляет отдельное заявление на </w:t>
      </w:r>
      <w:hyperlink r:id="link3">
        <w:r>
          <w:rPr>
            <w:color w:val="245DA8"/>
            <w:u w:val="single"/>
          </w:rPr>
          <w:t xml:space="preserve">support@altrics.tech</w:t>
        </w:r>
      </w:hyperlink>
      <w:r>
        <w:t xml:space="preserve">.</w:t>
      </w:r>
    </w:p>
    <w:p>
      <w:pPr>
        <w:pStyle w:val="Normal"/>
      </w:pPr>
      <w:r>
        <w:t xml:space="preserve">7.3. В заявлении необходимо указать ФИО или наименование Пользователя, адрес электронной почты учетной записи, дату и сумму платежа, идентификатор платежа при его наличии, а также требование о возврате. Исполнитель вправе запросить дополнительные сведения, объективно необходимые для идентификации платежа и заявителя.</w:t>
      </w:r>
    </w:p>
    <w:p>
      <w:pPr>
        <w:pStyle w:val="Normal"/>
      </w:pPr>
      <w:r>
        <w:t xml:space="preserve">7.4. Требование о возврате рассматривается, а возврат при наличии оснований оформляется в срок не более 10 календарных дней с даты получения требования. Возврат производится через Robokassa на исходный способ оплаты. Фактический срок зачисления денежных средств после оформления возврата может зависеть от банка и использованного способа оплаты.</w:t>
      </w:r>
    </w:p>
    <w:p>
      <w:pPr>
        <w:pStyle w:val="Normal"/>
      </w:pPr>
      <w:r>
        <w:t xml:space="preserve">7.5. Если отказ заявлен после начала оплаченного расчетного периода, вопрос о сумме возврата решается с учетом фактически оказанных услуг и фактически понесенных Исполнителем расходов в порядке, предусмотренном применимым законодательством. Настоящее Соглашение не ограничивает право потребителя на возврат денежных средств в случаях и размере, предусмотренных законом.</w:t>
      </w:r>
    </w:p>
    <w:p>
      <w:pPr>
        <w:pStyle w:val="Normal"/>
      </w:pPr>
      <w:r>
        <w:t xml:space="preserve">7.6. Для вопросов по оплате, отключению автопродления и возвратам используется адрес </w:t>
      </w:r>
      <w:hyperlink r:id="link4">
        <w:r>
          <w:rPr>
            <w:color w:val="245DA8"/>
            <w:u w:val="single"/>
          </w:rPr>
          <w:t xml:space="preserve">support@altrics.tech</w:t>
        </w:r>
      </w:hyperlink>
      <w:r>
        <w:t xml:space="preserve">.</w:t>
      </w:r>
    </w:p>
    <w:p>
      <w:pPr>
        <w:pStyle w:val="Heading1"/>
      </w:pPr>
      <w:r>
        <w:t xml:space="preserve">8. Срок действия и прекращение Соглашения</w:t>
      </w:r>
    </w:p>
    <w:p>
      <w:pPr>
        <w:pStyle w:val="Normal"/>
      </w:pPr>
      <w:r>
        <w:t xml:space="preserve">8.1. Настоящее Соглашение вступает в силу с момента его акцепта Пользователем и действует до прекращения использования Платформы.</w:t>
      </w:r>
    </w:p>
    <w:p>
      <w:pPr>
        <w:pStyle w:val="Normal"/>
      </w:pPr>
      <w:r>
        <w:t xml:space="preserve">8.2. Пользователь вправе прекратить использование Платформы в любое время.</w:t>
      </w:r>
    </w:p>
    <w:p>
      <w:pPr>
        <w:pStyle w:val="Normal"/>
      </w:pPr>
      <w:r>
        <w:t xml:space="preserve">8.3. Исполнитель вправе ограничить либо прекратить доступ Пользователя к Платформе при нарушении условий настоящего Соглашения либо требований законодательства Российской Федерации.</w:t>
      </w:r>
    </w:p>
    <w:p>
      <w:pPr>
        <w:pStyle w:val="Heading1"/>
      </w:pPr>
      <w:r>
        <w:t xml:space="preserve">9. Изменение Соглашения</w:t>
      </w:r>
    </w:p>
    <w:p>
      <w:pPr>
        <w:pStyle w:val="Normal"/>
      </w:pPr>
      <w:r>
        <w:t xml:space="preserve">9.1. Исполнитель вправе в любое время изменять настоящее Соглашение без получения отдельного согласия Пользователя.</w:t>
      </w:r>
    </w:p>
    <w:p>
      <w:pPr>
        <w:pStyle w:val="Normal"/>
      </w:pPr>
      <w:r>
        <w:t xml:space="preserve">9.2. Проект не вступает в силу от просмотра или размещения локального превью. Выпущенная редакция применяется с объявленной при публикации датой на сайте </w:t>
      </w:r>
      <w:hyperlink r:id="link5">
        <w:r>
          <w:rPr>
            <w:color w:val="245DA8"/>
            <w:u w:val="single"/>
          </w:rPr>
          <w:t xml:space="preserve">https://altrics.tech</w:t>
        </w:r>
      </w:hyperlink>
      <w:r>
        <w:t xml:space="preserve">. Изменения стоимости рекуррентной подписки применяются только с соблюдением специального порядка и срока уведомления, установленных пунктом 6.3.</w:t>
      </w:r>
    </w:p>
    <w:p>
      <w:pPr>
        <w:pStyle w:val="Normal"/>
      </w:pPr>
      <w:r>
        <w:t xml:space="preserve">9.3. Продолжение использования Платформы не заменяет отдельного явного согласия на новую сумму автоматических списаний, не переводит прежний тариф на новые объемы функций и не сокращает ранее оплаченный период.</w:t>
      </w:r>
    </w:p>
    <w:p>
      <w:pPr>
        <w:pStyle w:val="Heading1"/>
      </w:pPr>
      <w:r>
        <w:t xml:space="preserve">10. Заключительные положения</w:t>
      </w:r>
    </w:p>
    <w:p>
      <w:pPr>
        <w:pStyle w:val="Normal"/>
      </w:pPr>
      <w:r>
        <w:t xml:space="preserve">10.1. Во всем, что не урегулировано настоящим Соглашением, стороны руководствуются законодательством Российской Федерации.</w:t>
      </w:r>
    </w:p>
    <w:p>
      <w:pPr>
        <w:pStyle w:val="Normal"/>
      </w:pPr>
      <w:r>
        <w:t xml:space="preserve">10.2. Если какое-либо положение настоящего Соглашения будет признано недействительным или неисполнимым, это не влияет на действительность остальных положений.</w:t>
      </w:r>
    </w:p>
    <w:p>
      <w:pPr>
        <w:pStyle w:val="Normal"/>
      </w:pPr>
      <w:r>
        <w:t xml:space="preserve">10.3. Все споры, возникающие из настоящего Соглашения, подлежат разрешению путем переговоров, а при недостижении соглашения — в судебном порядке в соответствии с законодательством Российской Федерации.</w:t>
      </w:r>
    </w:p>
    <w:p>
      <w:pPr>
        <w:pStyle w:val="Normal"/>
      </w:pPr>
      <w:r>
        <w:t xml:space="preserve">10.4. Настоящее Соглашение является неотъемлемой частью работы Платформы ALTRICS и применяется совместно с Политикой конфиденциальности и Согласием на обработку персональных данных.</w:t>
      </w:r>
    </w:p>
    <w:p>
      <w:pPr>
        <w:pStyle w:val="Heading1"/>
      </w:pPr>
      <w:r>
        <w:t xml:space="preserve">11. Реквизиты и контакты Исполнителя</w:t>
      </w:r>
    </w:p>
    <w:p>
      <w:pPr>
        <w:pStyle w:val="Normal"/>
      </w:pPr>
      <w:r>
        <w:rPr>
          <w:b/>
        </w:rPr>
        <w:t xml:space="preserve">Исполнитель:</w:t>
      </w:r>
      <w:r>
        <w:t xml:space="preserve"> самозанятый Хусаинов Марсель Радмирович</w:t>
      </w:r>
    </w:p>
    <w:p>
      <w:pPr>
        <w:pStyle w:val="Normal"/>
      </w:pPr>
      <w:r>
        <w:rPr>
          <w:b/>
        </w:rPr>
        <w:t xml:space="preserve">ИНН:</w:t>
      </w:r>
      <w:r>
        <w:t xml:space="preserve"> 664605768505</w:t>
      </w:r>
    </w:p>
    <w:p>
      <w:pPr>
        <w:pStyle w:val="Normal"/>
      </w:pPr>
      <w:r>
        <w:rPr>
          <w:b/>
        </w:rPr>
        <w:t xml:space="preserve">Место деятельности:</w:t>
      </w:r>
      <w:r>
        <w:t xml:space="preserve"> Россия, Свердловская область, г. Первоуральск</w:t>
      </w:r>
    </w:p>
    <w:p>
      <w:pPr>
        <w:pStyle w:val="Normal"/>
      </w:pPr>
      <w:r>
        <w:rPr>
          <w:b/>
        </w:rPr>
        <w:t xml:space="preserve">Статус:</w:t>
      </w:r>
      <w:r>
        <w:t xml:space="preserve"> плательщик налога на профессиональный доход</w:t>
      </w:r>
    </w:p>
    <w:p>
      <w:pPr>
        <w:pStyle w:val="Normal"/>
      </w:pPr>
      <w:r>
        <w:rPr>
          <w:b/>
        </w:rPr>
        <w:t xml:space="preserve">Сайт:</w:t>
      </w:r>
      <w:r>
        <w:t xml:space="preserve"> </w:t>
      </w:r>
      <w:hyperlink r:id="link6">
        <w:r>
          <w:rPr>
            <w:color w:val="245DA8"/>
            <w:u w:val="single"/>
          </w:rPr>
          <w:t xml:space="preserve">https://altrics.tech</w:t>
        </w:r>
      </w:hyperlink>
    </w:p>
    <w:p>
      <w:pPr>
        <w:pStyle w:val="Normal"/>
      </w:pPr>
      <w:r>
        <w:rPr>
          <w:b/>
        </w:rPr>
        <w:t xml:space="preserve">Электронная почта:</w:t>
      </w:r>
      <w:r>
        <w:t xml:space="preserve"> </w:t>
      </w:r>
      <w:hyperlink r:id="link7">
        <w:r>
          <w:rPr>
            <w:color w:val="245DA8"/>
            <w:u w:val="single"/>
          </w:rPr>
          <w:t xml:space="preserve">support@altrics.tech</w:t>
        </w:r>
      </w:hyperlink>
    </w:p>
    <w:p>
      <w:pPr>
        <w:pStyle w:val="Normal"/>
      </w:pPr>
      <w:r>
        <w:rPr>
          <w:b/>
        </w:rPr>
        <w:t xml:space="preserve">Вопросы по оплате и возвратам:</w:t>
      </w:r>
      <w:r>
        <w:t xml:space="preserve"> </w:t>
      </w:r>
      <w:hyperlink r:id="link8">
        <w:r>
          <w:rPr>
            <w:color w:val="245DA8"/>
            <w:u w:val="single"/>
          </w:rPr>
          <w:t xml:space="preserve">support@altrics.tech</w:t>
        </w:r>
      </w:hyperlink>
    </w:p>
    <w:sectPr>
      <w:pgSz w:w="11906" w:h="16838"/>
      <w:pgMar w:top="1134" w:bottom="1134" w:left="1134" w:right="1134"/>
    </w:sectPr>
  </w:body>
</w:document>
</file>

<file path=word/styles.xml><?xml version="1.0" encoding="utf-8"?>
<w:styles xmlns:w="http://schemas.openxmlformats.org/wordprocessingml/2006/main">
  <w:style w:type="paragraph" w:default="1" w:styleId="Normal">
    <w:name w:val="Normal"/>
    <w:pPr>
      <w:spacing w:after="140"/>
    </w:pPr>
    <w:rPr>
      <w:rFonts w:ascii="Arial" w:hAnsi="Arial"/>
      <w:sz w:val="22"/>
      <w:lang w:val="ru-RU"/>
    </w:rPr>
  </w:style>
  <w:style w:type="paragraph" w:styleId="Title">
    <w:name w:val="Title"/>
    <w:basedOn w:val="Normal"/>
    <w:pPr>
      <w:keepNext/>
      <w:spacing w:after="280"/>
    </w:pPr>
    <w:rPr>
      <w:b/>
      <w:sz w:val="32"/>
    </w:rPr>
  </w:style>
  <w:style w:type="paragraph" w:styleId="Heading1">
    <w:name w:val="heading 1"/>
    <w:basedOn w:val="Normal"/>
    <w:pPr>
      <w:keepNext/>
      <w:spacing w:before="240" w:after="160"/>
      <w:outlineLvl w:val="0"/>
    </w:pPr>
    <w:rPr>
      <w:b/>
      <w:sz w:val="26"/>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link1" Type="http://schemas.openxmlformats.org/officeDocument/2006/relationships/hyperlink" Target="https://altrics.tech" TargetMode="External" /><Relationship Id="link2" Type="http://schemas.openxmlformats.org/officeDocument/2006/relationships/hyperlink" Target="mailto:support@altrics.tech" TargetMode="External" /><Relationship Id="link3" Type="http://schemas.openxmlformats.org/officeDocument/2006/relationships/hyperlink" Target="mailto:support@altrics.tech" TargetMode="External" /><Relationship Id="link4" Type="http://schemas.openxmlformats.org/officeDocument/2006/relationships/hyperlink" Target="mailto:support@altrics.tech" TargetMode="External" /><Relationship Id="link5" Type="http://schemas.openxmlformats.org/officeDocument/2006/relationships/hyperlink" Target="https://altrics.tech" TargetMode="External" /><Relationship Id="link6" Type="http://schemas.openxmlformats.org/officeDocument/2006/relationships/hyperlink" Target="https://altrics.tech" TargetMode="External" /><Relationship Id="link7" Type="http://schemas.openxmlformats.org/officeDocument/2006/relationships/hyperlink" Target="mailto:support@altrics.tech" TargetMode="External" /><Relationship Id="link8" Type="http://schemas.openxmlformats.org/officeDocument/2006/relationships/hyperlink" Target="mailto:support@altrics.tech" TargetMode="External" /></Relationships>
</file>